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sz w:val="24"/>
          <w:szCs w:val="24"/>
          <w:lang w:eastAsia="ar-SA"/>
        </w:rPr>
      </w:pPr>
      <w:r>
        <w:rPr>
          <w:rFonts w:eastAsia="+mn-ea" w:cs="Times New Roman" w:ascii="Times New Roman" w:hAnsi="Times New Roman"/>
          <w:b/>
          <w:bCs/>
          <w:sz w:val="24"/>
          <w:szCs w:val="24"/>
          <w:lang w:eastAsia="ar-SA"/>
        </w:rPr>
        <w:t xml:space="preserve">Заявление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sz w:val="24"/>
          <w:szCs w:val="24"/>
          <w:lang w:eastAsia="ar-SA"/>
        </w:rPr>
      </w:pPr>
      <w:r>
        <w:rPr>
          <w:rFonts w:eastAsia="+mn-ea" w:cs="Times New Roman" w:ascii="Times New Roman" w:hAnsi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sz w:val="24"/>
          <w:szCs w:val="24"/>
          <w:lang w:eastAsia="ar-SA"/>
        </w:rPr>
      </w:pPr>
      <w:r>
        <w:rPr>
          <w:rFonts w:eastAsia="+mn-ea" w:cs="Times New Roman" w:ascii="Times New Roman" w:hAnsi="Times New Roman"/>
          <w:b/>
          <w:bCs/>
          <w:sz w:val="24"/>
          <w:szCs w:val="24"/>
          <w:lang w:eastAsia="ar-SA"/>
        </w:rPr>
        <w:t>в эффективный режим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93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Скалинская основная школа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152440, Ярославская область, Первомайский район, п.ст. Скалино, ул. Первомайская, д.11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Директор Беренева Наталия Дмитриевна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8 485 49 3-31-66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ru-RU"/>
                </w:rPr>
                <w:t>berenyowa@yandex.ru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tbl>
      <w:tblPr>
        <w:tblW w:w="93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>
        <w:trPr>
          <w:trHeight w:val="258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Программа перехода  МОУ Скалинская ОШ в эффективный режим работы  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Создание условий для перевода школы в эффективный режим  работы  с целью повышения образовательных результатов обучающихся  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0CEC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142"/>
              <w:ind w:left="35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Повысить   образовательные результаты на уровне начального и основного общего  образования  </w:t>
            </w:r>
          </w:p>
          <w:p>
            <w:pPr>
              <w:pStyle w:val="Style16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142"/>
              <w:ind w:left="35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Создать условия для развития школьной образовательной среды, ориентированной на высокие результаты. </w:t>
            </w:r>
          </w:p>
          <w:p>
            <w:pPr>
              <w:pStyle w:val="Style16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142"/>
              <w:ind w:left="35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Совершенствовать внутришкольную систему оценки качества образования.</w:t>
            </w:r>
          </w:p>
          <w:p>
            <w:pPr>
              <w:pStyle w:val="Style16"/>
              <w:numPr>
                <w:ilvl w:val="0"/>
                <w:numId w:val="0"/>
              </w:numPr>
              <w:tabs>
                <w:tab w:val="clear" w:pos="708"/>
              </w:tabs>
              <w:spacing w:lineRule="auto" w:line="240" w:before="0" w:after="142"/>
              <w:ind w:left="35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Организовать внутрикорпоративное обучение педагогов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центра «Точка роста» с целью внедрения современных форм и методов обучения.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0CEC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142"/>
              <w:ind w:left="0" w:right="0" w:hanging="0"/>
              <w:contextualSpacing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качества образования, соответствующего запросам государства и общества</w:t>
            </w:r>
          </w:p>
          <w:p>
            <w:pPr>
              <w:pStyle w:val="Style16"/>
              <w:spacing w:lineRule="auto" w:line="240" w:before="0" w:after="142"/>
              <w:ind w:left="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Обязательные: </w:t>
            </w:r>
            <w:r>
              <w:rPr>
                <w:rFonts w:ascii="Times New Roman" w:hAnsi="Times New Roman"/>
              </w:rPr>
              <w:t>Выполнение требований государственного стандарта(ГИА).  Высокие</w:t>
            </w:r>
          </w:p>
          <w:p>
            <w:pPr>
              <w:pStyle w:val="Style16"/>
              <w:spacing w:lineRule="auto" w:line="240" w:before="0" w:after="142"/>
              <w:ind w:left="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работы всего педагогического коллектива</w:t>
            </w:r>
          </w:p>
          <w:p>
            <w:pPr>
              <w:pStyle w:val="Style16"/>
              <w:spacing w:lineRule="auto" w:line="240" w:before="0" w:after="142"/>
              <w:ind w:left="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Срочные:</w:t>
            </w:r>
            <w:r>
              <w:rPr>
                <w:rFonts w:ascii="Times New Roman" w:hAnsi="Times New Roman"/>
              </w:rPr>
              <w:t xml:space="preserve"> Повышение уровня обученности школьников. Управление качеством образования через реализацию инновационных проектов. Сопровождение профессионального развития педагогов.</w:t>
            </w:r>
          </w:p>
          <w:p>
            <w:pPr>
              <w:pStyle w:val="Style16"/>
              <w:spacing w:lineRule="auto" w:line="240" w:before="0" w:after="142"/>
              <w:ind w:left="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Желательные:</w:t>
            </w:r>
            <w:r>
              <w:rPr>
                <w:rFonts w:ascii="Times New Roman" w:hAnsi="Times New Roman"/>
              </w:rPr>
              <w:t xml:space="preserve"> Высокие качественные показатели в обучении. Рост внеучебных достижений школьников, их социальной активности. Продуктивная  работа творческих групп.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Первый этап(2021год)–аналитико-диагностический.</w:t>
            </w:r>
          </w:p>
          <w:p>
            <w:pPr>
              <w:pStyle w:val="Style16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Цель: проведение аналитической и диагностической работы, разработка текста и утверждение программы перехода школы в эффективный режим работы (в части улучшения образовательных результатов)</w:t>
            </w:r>
          </w:p>
          <w:p>
            <w:pPr>
              <w:pStyle w:val="Style16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Второй этап(2021-2023)–деятельностный.</w:t>
            </w:r>
          </w:p>
          <w:p>
            <w:pPr>
              <w:pStyle w:val="Style16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Цель: реализация Программы перехода школы в эффективный режим работы, доработка и реализация подпрограмм Программы</w:t>
            </w:r>
          </w:p>
          <w:p>
            <w:pPr>
              <w:pStyle w:val="Style16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Третий этап (2023-2024)–этап промежуточного контроля и коррекции.</w:t>
            </w:r>
          </w:p>
          <w:p>
            <w:pPr>
              <w:pStyle w:val="Style16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>
            <w:pPr>
              <w:pStyle w:val="Style16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Четвертый завершающий этап(2024).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Цель: подведение итогов реализации Программы перехода школы в эффективный режим работы, распространение опыта работы, разработка нового плана развития школы. 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right="397" w:hanging="0"/>
              <w:contextualSpacing/>
              <w:jc w:val="left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достижений обучающихся. </w:t>
            </w:r>
            <w:r>
              <w:rPr>
                <w:rFonts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>Успеваемость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-100%,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обучения-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%.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Результаты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ОГЭ- повышение среднего балла по русскому языку на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б , по математике на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 б.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выпускников,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продолживших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образование-100%. Результаты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>ВПР- повышение результатов на 0,5 б.</w:t>
            </w:r>
          </w:p>
          <w:p>
            <w:pPr>
              <w:pStyle w:val="TableParagraph"/>
              <w:spacing w:lineRule="auto" w:line="240" w:before="0" w:after="0"/>
              <w:ind w:hang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 xml:space="preserve">преподавания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Образование </w:t>
            </w:r>
            <w:r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педагогов- высшее педагогическое-100%;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Квалификация 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педагогов- 1кв.кат-80%; высшая кв.кат-20%;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Методика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преподавания- Владение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современными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методами и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технологиями.</w:t>
            </w:r>
          </w:p>
          <w:p>
            <w:pPr>
              <w:pStyle w:val="TableParagraph"/>
              <w:spacing w:lineRule="auto" w:line="240" w:before="0" w:after="0"/>
              <w:ind w:hanging="0"/>
              <w:contextualSpacing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участников олимпиад различного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уровня- Увеличение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  <w:p>
            <w:pPr>
              <w:pStyle w:val="Style16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сетевых педагогических сообществ и тьюторского сопровождения развития  профессионально-педагогических компетентностей, в которых участвуют учителя и</w:t>
            </w:r>
          </w:p>
          <w:p>
            <w:pPr>
              <w:pStyle w:val="Style16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 в целом -регулярность участия, степень участия: организатор, активный участник.</w:t>
            </w:r>
          </w:p>
          <w:p>
            <w:pPr>
              <w:pStyle w:val="Style16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условий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образовательной 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деятельности: </w:t>
            </w:r>
            <w:r>
              <w:rPr>
                <w:rFonts w:ascii="Times New Roman" w:hAnsi="Times New Roman"/>
                <w:sz w:val="22"/>
                <w:szCs w:val="22"/>
              </w:rPr>
              <w:t>Укрепление материально-технической базы, комфортные условия в школе.- Положительная динамика оснащения учебно-лабораторными мультимедийным оборудованием. Выполнение требований  Сан ПиНа, пожарной безопасности. Положительный школьный климат.- Обеспечение комфортных и безопасных условий образовательной деятельности. Организация образовательной деятельности.- Использование современных образовательных форм организации образовательного процесса, технологий, активных форм, методов, приемов обучения.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3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3838"/>
        <w:gridCol w:w="4815"/>
      </w:tblGrid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>
        <w:trPr>
          <w:trHeight w:val="269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Беренева Наталия Дмитриевна, директор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Общий контроль реализации Программы;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оформление нормативно-правовой базы Программы;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 xml:space="preserve">- обеспечение взаимодействия участников образовательного процесса; 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укрепление материально-технической базы школы;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 xml:space="preserve">- управление бюджетом;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организация мониторинга хода и результатов реализации Программы в целях проведения возможных корректировок ведущихся и планируемых действий.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Капралова Маргарита Васильевна, заместитель директора по учебно-воспитательной работе, учитель русского языка, литературы.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Системный анализ проблем и планирование деятельности, направленной на их разрешение;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организация и разработка механизма взаимодействия участников образовательного процесса (обучающихся, родителей, педагогических работников, социальных партнёров);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организация повышения квалификации педагогических кадров;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организация взаимопосещения уроков, внеклассных мероприятий с последующим самоанализом и анализом достигнутых результатов;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анализ состояния преподавания по итогам промежуточного, итогового контроля;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текущий контроль реализации Программы.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Козлова Галина Алексеевна, заместитель директора по воспитательной работе, учитель химии, биологии.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Информирование и осуществление постоянной связи между субъектами образовательного процесса;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оказание психолого-педагогической поддержки обучающимся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организация взаимодействия обучающихся, педагогических работников, родительской общественности, социальных партнёров по выстраиванию системы  сопровождение обучающихся.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Зыкова Алена Вадимовна учитель-логопед,  педагог- психолог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 xml:space="preserve"> </w:t>
            </w:r>
            <w:r>
              <w:rPr/>
              <w:t>Психолого-педагогическое сопровождение всех участников образовательного процесса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Учителя предметники: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Рейвардт Людмила Петровна- учитель математики, Корулев Илья Алексеевич- учитель географии, Бариновская Надежда Александровна- учитель немецкого языка,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Учителя начальных классов: Грачева Ирина Викторовна, Доронина Ирина Алексеевна, Егорова Екатерина Александровна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Проведение предметной диагностики;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проведение индивидуальных и групповых занятий в рамках базисного учебного плана;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 xml:space="preserve">- освоение новых образовательных технологий, способствующих формированию функциональной грамотности  обучающихся; </w:t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/>
              <w:t>- сопровождение обучающихся.</w:t>
            </w:r>
          </w:p>
        </w:tc>
      </w:tr>
      <w:tr>
        <w:trPr/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утверждении «Программы </w:t>
            </w:r>
            <w:r>
              <w:rPr>
                <w:rFonts w:eastAsia="Calibri"/>
                <w:sz w:val="24"/>
                <w:szCs w:val="24"/>
              </w:rPr>
              <w:t>перехода МОУ Скалинская ОШ в эффективный режим работы»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color w:val="0000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80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а основании </w:t>
            </w:r>
            <w:bookmarkStart w:id="0" w:name="__DdeLink__13011_3459012111"/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анализа результатов процедур внешней оценки образовательных достижений обучающихся  </w:t>
            </w:r>
            <w:bookmarkEnd w:id="0"/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МОУ Скалинская ОШ вошла в число участников проекта школ Ярославской области, показывающих низкие образовательные результаты </w:t>
            </w:r>
          </w:p>
        </w:tc>
      </w:tr>
      <w:tr>
        <w:trPr>
          <w:trHeight w:val="691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деятельности школы при переходе в эффективный режим работы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Регламентация деятельности педагогов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 переходе в эффективный режим работы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Дополнение к положению о стимулирующих выплатах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Необходимость корректировки Положения   в связи с работой педагогов в рамках реализации Программы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мониторинге качества образования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Необходимость отслеживания результатов реализации Программы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Договоры, регламентирующие  сетевое взаимодействие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Необходимость привлечения внешних специалистов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ar-SA"/>
        </w:rPr>
      </w:pPr>
      <w:r>
        <w:rPr>
          <w:rFonts w:eastAsia="+mn-ea" w:cs="Times New Roman" w:ascii="Times New Roman" w:hAnsi="Times New Roman"/>
          <w:sz w:val="24"/>
          <w:szCs w:val="20"/>
          <w:lang w:eastAsia="ar-SA"/>
        </w:rPr>
        <w:t xml:space="preserve">Руководитель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+mn-ea" w:cs="Times New Roman"/>
          <w:sz w:val="24"/>
          <w:szCs w:val="20"/>
          <w:lang w:eastAsia="ar-SA"/>
        </w:rPr>
      </w:pPr>
      <w:r>
        <w:rPr>
          <w:rFonts w:eastAsia="+mn-ea" w:cs="Times New Roman" w:ascii="Times New Roman" w:hAnsi="Times New Roman"/>
          <w:sz w:val="24"/>
          <w:szCs w:val="20"/>
          <w:lang w:eastAsia="ar-SA"/>
        </w:rPr>
        <w:t xml:space="preserve">образовательной             </w:t>
        <w:tab/>
        <w:tab/>
        <w:t xml:space="preserve">    ___________            ______________________</w:t>
      </w:r>
    </w:p>
    <w:p>
      <w:pPr>
        <w:pStyle w:val="Normal"/>
        <w:suppressAutoHyphens w:val="true"/>
        <w:spacing w:lineRule="auto" w:line="240" w:before="0" w:after="120"/>
        <w:rPr/>
      </w:pPr>
      <w:r>
        <w:rPr>
          <w:rFonts w:eastAsia="+mn-ea" w:cs="Times New Roman" w:ascii="Times New Roman" w:hAnsi="Times New Roman"/>
          <w:sz w:val="24"/>
          <w:szCs w:val="20"/>
          <w:lang w:eastAsia="ar-SA"/>
        </w:rPr>
        <w:t xml:space="preserve">организации                       </w:t>
        <w:tab/>
        <w:tab/>
        <w:t xml:space="preserve">        </w:t>
      </w:r>
      <w:r>
        <w:rPr>
          <w:rFonts w:eastAsia="+mn-ea" w:cs="Times New Roman" w:ascii="Times New Roman" w:hAnsi="Times New Roman"/>
          <w:szCs w:val="20"/>
          <w:lang w:eastAsia="ar-SA"/>
        </w:rPr>
        <w:t xml:space="preserve"> (подпись)</w:t>
      </w:r>
      <w:r>
        <w:rPr>
          <w:rFonts w:eastAsia="Times New Roman" w:cs="Times New Roman" w:ascii="Times New Roman" w:hAnsi="Times New Roman"/>
          <w:szCs w:val="20"/>
          <w:lang w:eastAsia="ar-SA"/>
        </w:rPr>
        <w:t xml:space="preserve">                   </w:t>
      </w:r>
      <w:r>
        <w:rPr>
          <w:rFonts w:eastAsia="+mn-ea" w:cs="Times New Roman" w:ascii="Times New Roman" w:hAnsi="Times New Roman"/>
          <w:szCs w:val="20"/>
          <w:lang w:eastAsia="ar-SA"/>
        </w:rPr>
        <w:t>(расшифровка подписи)</w:t>
      </w:r>
      <w:r>
        <w:rPr>
          <w:rFonts w:eastAsia="+mn-ea" w:cs="Times New Roman" w:ascii="Times New Roman" w:hAnsi="Times New Roman"/>
          <w:sz w:val="24"/>
          <w:szCs w:val="20"/>
          <w:lang w:eastAsia="ar-SA"/>
        </w:rPr>
        <w:t xml:space="preserve">                                             М.П.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48" w:hanging="240"/>
      </w:pPr>
      <w:rPr>
        <w:sz w:val="2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1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43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44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146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48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549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251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952" w:hanging="2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063">
    <w:name w:val="ListLabel 1063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064">
    <w:name w:val="ListLabel 1064"/>
    <w:qFormat/>
    <w:rPr>
      <w:rFonts w:cs="Symbol"/>
      <w:lang w:val="ru-RU" w:eastAsia="en-US" w:bidi="ar-SA"/>
    </w:rPr>
  </w:style>
  <w:style w:type="character" w:styleId="ListLabel1065">
    <w:name w:val="ListLabel 1065"/>
    <w:qFormat/>
    <w:rPr>
      <w:rFonts w:cs="Symbol"/>
      <w:lang w:val="ru-RU" w:eastAsia="en-US" w:bidi="ar-SA"/>
    </w:rPr>
  </w:style>
  <w:style w:type="character" w:styleId="ListLabel1066">
    <w:name w:val="ListLabel 1066"/>
    <w:qFormat/>
    <w:rPr>
      <w:rFonts w:cs="Symbol"/>
      <w:lang w:val="ru-RU" w:eastAsia="en-US" w:bidi="ar-SA"/>
    </w:rPr>
  </w:style>
  <w:style w:type="character" w:styleId="ListLabel1067">
    <w:name w:val="ListLabel 1067"/>
    <w:qFormat/>
    <w:rPr>
      <w:rFonts w:cs="Symbol"/>
      <w:lang w:val="ru-RU" w:eastAsia="en-US" w:bidi="ar-SA"/>
    </w:rPr>
  </w:style>
  <w:style w:type="character" w:styleId="ListLabel1068">
    <w:name w:val="ListLabel 1068"/>
    <w:qFormat/>
    <w:rPr>
      <w:rFonts w:cs="Symbol"/>
      <w:lang w:val="ru-RU" w:eastAsia="en-US" w:bidi="ar-SA"/>
    </w:rPr>
  </w:style>
  <w:style w:type="character" w:styleId="ListLabel1069">
    <w:name w:val="ListLabel 1069"/>
    <w:qFormat/>
    <w:rPr>
      <w:rFonts w:cs="Symbol"/>
      <w:lang w:val="ru-RU" w:eastAsia="en-US" w:bidi="ar-SA"/>
    </w:rPr>
  </w:style>
  <w:style w:type="character" w:styleId="ListLabel1070">
    <w:name w:val="ListLabel 1070"/>
    <w:qFormat/>
    <w:rPr>
      <w:rFonts w:cs="Symbol"/>
      <w:lang w:val="ru-RU" w:eastAsia="en-US" w:bidi="ar-SA"/>
    </w:rPr>
  </w:style>
  <w:style w:type="character" w:styleId="ListLabel1071">
    <w:name w:val="ListLabel 1071"/>
    <w:qFormat/>
    <w:rPr>
      <w:rFonts w:cs="Symbol"/>
      <w:lang w:val="ru-RU" w:eastAsia="en-US" w:bidi="ar-SA"/>
    </w:rPr>
  </w:style>
  <w:style w:type="character" w:styleId="ListLabel1027">
    <w:name w:val="ListLabel 10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28">
    <w:name w:val="ListLabel 1028"/>
    <w:qFormat/>
    <w:rPr>
      <w:rFonts w:cs="Symbol"/>
      <w:lang w:val="ru-RU" w:eastAsia="en-US" w:bidi="ar-SA"/>
    </w:rPr>
  </w:style>
  <w:style w:type="character" w:styleId="ListLabel1029">
    <w:name w:val="ListLabel 1029"/>
    <w:qFormat/>
    <w:rPr>
      <w:rFonts w:cs="Symbol"/>
      <w:lang w:val="ru-RU" w:eastAsia="en-US" w:bidi="ar-SA"/>
    </w:rPr>
  </w:style>
  <w:style w:type="character" w:styleId="ListLabel1030">
    <w:name w:val="ListLabel 1030"/>
    <w:qFormat/>
    <w:rPr>
      <w:rFonts w:cs="Symbol"/>
      <w:lang w:val="ru-RU" w:eastAsia="en-US" w:bidi="ar-SA"/>
    </w:rPr>
  </w:style>
  <w:style w:type="character" w:styleId="ListLabel1031">
    <w:name w:val="ListLabel 1031"/>
    <w:qFormat/>
    <w:rPr>
      <w:rFonts w:cs="Symbol"/>
      <w:lang w:val="ru-RU" w:eastAsia="en-US" w:bidi="ar-SA"/>
    </w:rPr>
  </w:style>
  <w:style w:type="character" w:styleId="ListLabel1032">
    <w:name w:val="ListLabel 1032"/>
    <w:qFormat/>
    <w:rPr>
      <w:rFonts w:cs="Symbol"/>
      <w:lang w:val="ru-RU" w:eastAsia="en-US" w:bidi="ar-SA"/>
    </w:rPr>
  </w:style>
  <w:style w:type="character" w:styleId="ListLabel1033">
    <w:name w:val="ListLabel 1033"/>
    <w:qFormat/>
    <w:rPr>
      <w:rFonts w:cs="Symbol"/>
      <w:lang w:val="ru-RU" w:eastAsia="en-US" w:bidi="ar-SA"/>
    </w:rPr>
  </w:style>
  <w:style w:type="character" w:styleId="ListLabel1034">
    <w:name w:val="ListLabel 1034"/>
    <w:qFormat/>
    <w:rPr>
      <w:rFonts w:cs="Symbol"/>
      <w:lang w:val="ru-RU" w:eastAsia="en-US" w:bidi="ar-SA"/>
    </w:rPr>
  </w:style>
  <w:style w:type="character" w:styleId="ListLabel1035">
    <w:name w:val="ListLabel 1035"/>
    <w:qFormat/>
    <w:rPr>
      <w:rFonts w:cs="Symbol"/>
      <w:lang w:val="ru-RU" w:eastAsia="en-US" w:bidi="ar-SA"/>
    </w:rPr>
  </w:style>
  <w:style w:type="character" w:styleId="ListLabel1072">
    <w:name w:val="ListLabel 1072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073">
    <w:name w:val="ListLabel 1073"/>
    <w:qFormat/>
    <w:rPr>
      <w:rFonts w:cs="Symbol"/>
      <w:lang w:val="ru-RU" w:eastAsia="en-US" w:bidi="ar-SA"/>
    </w:rPr>
  </w:style>
  <w:style w:type="character" w:styleId="ListLabel1074">
    <w:name w:val="ListLabel 1074"/>
    <w:qFormat/>
    <w:rPr>
      <w:rFonts w:cs="Symbol"/>
      <w:lang w:val="ru-RU" w:eastAsia="en-US" w:bidi="ar-SA"/>
    </w:rPr>
  </w:style>
  <w:style w:type="character" w:styleId="ListLabel1075">
    <w:name w:val="ListLabel 1075"/>
    <w:qFormat/>
    <w:rPr>
      <w:rFonts w:cs="Symbol"/>
      <w:lang w:val="ru-RU" w:eastAsia="en-US" w:bidi="ar-SA"/>
    </w:rPr>
  </w:style>
  <w:style w:type="character" w:styleId="ListLabel1076">
    <w:name w:val="ListLabel 1076"/>
    <w:qFormat/>
    <w:rPr>
      <w:rFonts w:cs="Symbol"/>
      <w:lang w:val="ru-RU" w:eastAsia="en-US" w:bidi="ar-SA"/>
    </w:rPr>
  </w:style>
  <w:style w:type="character" w:styleId="ListLabel1077">
    <w:name w:val="ListLabel 1077"/>
    <w:qFormat/>
    <w:rPr>
      <w:rFonts w:cs="Symbol"/>
      <w:lang w:val="ru-RU" w:eastAsia="en-US" w:bidi="ar-SA"/>
    </w:rPr>
  </w:style>
  <w:style w:type="character" w:styleId="ListLabel1078">
    <w:name w:val="ListLabel 1078"/>
    <w:qFormat/>
    <w:rPr>
      <w:rFonts w:cs="Symbol"/>
      <w:lang w:val="ru-RU" w:eastAsia="en-US" w:bidi="ar-SA"/>
    </w:rPr>
  </w:style>
  <w:style w:type="character" w:styleId="ListLabel1079">
    <w:name w:val="ListLabel 1079"/>
    <w:qFormat/>
    <w:rPr>
      <w:rFonts w:cs="Symbol"/>
      <w:lang w:val="ru-RU" w:eastAsia="en-US" w:bidi="ar-SA"/>
    </w:rPr>
  </w:style>
  <w:style w:type="character" w:styleId="ListLabel1080">
    <w:name w:val="ListLabel 1080"/>
    <w:qFormat/>
    <w:rPr>
      <w:rFonts w:cs="Symbol"/>
      <w:lang w:val="ru-RU" w:eastAsia="en-US" w:bidi="ar-SA"/>
    </w:rPr>
  </w:style>
  <w:style w:type="character" w:styleId="ListLabel1081">
    <w:name w:val="ListLabel 1081"/>
    <w:qFormat/>
    <w:rPr>
      <w:rFonts w:ascii="Times New Roman" w:hAnsi="Times New Roman" w:eastAsia="Times New Roman" w:cs="Times New Roman"/>
      <w:w w:val="100"/>
      <w:sz w:val="22"/>
      <w:szCs w:val="24"/>
      <w:lang w:val="ru-RU" w:eastAsia="en-US" w:bidi="ar-SA"/>
    </w:rPr>
  </w:style>
  <w:style w:type="character" w:styleId="ListLabel1082">
    <w:name w:val="ListLabel 1082"/>
    <w:qFormat/>
    <w:rPr>
      <w:rFonts w:cs="Symbol"/>
      <w:lang w:val="ru-RU" w:eastAsia="en-US" w:bidi="ar-SA"/>
    </w:rPr>
  </w:style>
  <w:style w:type="character" w:styleId="ListLabel1083">
    <w:name w:val="ListLabel 1083"/>
    <w:qFormat/>
    <w:rPr>
      <w:rFonts w:cs="Symbol"/>
      <w:lang w:val="ru-RU" w:eastAsia="en-US" w:bidi="ar-SA"/>
    </w:rPr>
  </w:style>
  <w:style w:type="character" w:styleId="ListLabel1084">
    <w:name w:val="ListLabel 1084"/>
    <w:qFormat/>
    <w:rPr>
      <w:rFonts w:cs="Symbol"/>
      <w:lang w:val="ru-RU" w:eastAsia="en-US" w:bidi="ar-SA"/>
    </w:rPr>
  </w:style>
  <w:style w:type="character" w:styleId="ListLabel1085">
    <w:name w:val="ListLabel 1085"/>
    <w:qFormat/>
    <w:rPr>
      <w:rFonts w:cs="Symbol"/>
      <w:lang w:val="ru-RU" w:eastAsia="en-US" w:bidi="ar-SA"/>
    </w:rPr>
  </w:style>
  <w:style w:type="character" w:styleId="ListLabel1086">
    <w:name w:val="ListLabel 1086"/>
    <w:qFormat/>
    <w:rPr>
      <w:rFonts w:cs="Symbol"/>
      <w:lang w:val="ru-RU" w:eastAsia="en-US" w:bidi="ar-SA"/>
    </w:rPr>
  </w:style>
  <w:style w:type="character" w:styleId="ListLabel1087">
    <w:name w:val="ListLabel 1087"/>
    <w:qFormat/>
    <w:rPr>
      <w:rFonts w:cs="Symbol"/>
      <w:lang w:val="ru-RU" w:eastAsia="en-US" w:bidi="ar-SA"/>
    </w:rPr>
  </w:style>
  <w:style w:type="character" w:styleId="ListLabel1088">
    <w:name w:val="ListLabel 1088"/>
    <w:qFormat/>
    <w:rPr>
      <w:rFonts w:cs="Symbol"/>
      <w:lang w:val="ru-RU" w:eastAsia="en-US" w:bidi="ar-SA"/>
    </w:rPr>
  </w:style>
  <w:style w:type="character" w:styleId="ListLabel1089">
    <w:name w:val="ListLabel 1089"/>
    <w:qFormat/>
    <w:rPr>
      <w:rFonts w:cs="Symbol"/>
      <w:lang w:val="ru-RU" w:eastAsia="en-US" w:bidi="ar-SA"/>
    </w:rPr>
  </w:style>
  <w:style w:type="character" w:styleId="ListLabel1090">
    <w:name w:val="ListLabel 1090"/>
    <w:qFormat/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renyow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LibreOffice/6.1.3.2$Windows_X86_64 LibreOffice_project/86daf60bf00efa86ad547e59e09d6bb77c699acb</Application>
  <Pages>3</Pages>
  <Words>842</Words>
  <Characters>6957</Characters>
  <CharactersWithSpaces>7855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2020-08-28T10:53:00Z</dcterms:created>
  <dc:creator>Юлия Сергеевна Никитина</dc:creator>
  <dc:description/>
  <dc:language>ru-RU</dc:language>
  <cp:lastModifiedBy/>
  <dcterms:modified xsi:type="dcterms:W3CDTF">2021-11-23T17:05:05Z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